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70" w:rsidRPr="00D70B70" w:rsidRDefault="00D70B70" w:rsidP="00D7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0B70">
        <w:rPr>
          <w:rFonts w:ascii="Arial" w:eastAsia="Times New Roman" w:hAnsi="Arial" w:cs="Arial"/>
          <w:color w:val="2B2B2B"/>
          <w:sz w:val="34"/>
          <w:szCs w:val="34"/>
          <w:bdr w:val="none" w:sz="0" w:space="0" w:color="auto" w:frame="1"/>
          <w:shd w:val="clear" w:color="auto" w:fill="FFFFFF"/>
          <w:lang w:eastAsia="el-GR"/>
        </w:rPr>
        <w:t>Ερωτήσεις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Πόσα είδη φορτίου υπάρχουν στη φύση;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0" type="#_x0000_t75" style="width:20.1pt;height:17.3pt" o:ole="">
            <v:imagedata r:id="rId5" o:title=""/>
          </v:shape>
          <w:control r:id="rId6" w:name="DefaultOcxName" w:shapeid="_x0000_i143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2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61" type="#_x0000_t75" style="width:20.1pt;height:17.3pt" o:ole="">
            <v:imagedata r:id="rId7" o:title=""/>
          </v:shape>
          <w:control r:id="rId8" w:name="DefaultOcxName1" w:shapeid="_x0000_i116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64" type="#_x0000_t75" style="width:20.1pt;height:17.3pt" o:ole="">
            <v:imagedata r:id="rId7" o:title=""/>
          </v:shape>
          <w:control r:id="rId9" w:name="DefaultOcxName2" w:shapeid="_x0000_i116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3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el-GR"/>
        </w:rPr>
        <w:t xml:space="preserve"> </w:t>
      </w: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δύο μαγνήτες ασκείται μεταξύ τους ηλεκτρική δύναμη.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67" type="#_x0000_t75" style="width:20.1pt;height:17.3pt" o:ole="">
            <v:imagedata r:id="rId7" o:title=""/>
          </v:shape>
          <w:control r:id="rId10" w:name="DefaultOcxName3" w:shapeid="_x0000_i116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1" type="#_x0000_t75" style="width:20.1pt;height:17.3pt" o:ole="">
            <v:imagedata r:id="rId5" o:title=""/>
          </v:shape>
          <w:control r:id="rId11" w:name="DefaultOcxName4" w:shapeid="_x0000_i143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ένα μαγνήτη στο ηλεκτρικό εκκρεμές, αυτό απωθείται.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2" type="#_x0000_t75" style="width:20.1pt;height:17.3pt" o:ole="">
            <v:imagedata r:id="rId5" o:title=""/>
          </v:shape>
          <w:control r:id="rId12" w:name="DefaultOcxName5" w:shapeid="_x0000_i143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76" type="#_x0000_t75" style="width:20.1pt;height:17.3pt" o:ole="">
            <v:imagedata r:id="rId7" o:title=""/>
          </v:shape>
          <w:control r:id="rId13" w:name="DefaultOcxName6" w:shapeid="_x0000_i117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Τα διαφορετικά είδη φορτίου ονομάζονται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3" type="#_x0000_t75" style="width:20.1pt;height:17.3pt" o:ole="">
            <v:imagedata r:id="rId5" o:title=""/>
          </v:shape>
          <w:control r:id="rId14" w:name="DefaultOcxName7" w:shapeid="_x0000_i143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Θετικό αρνητικό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82" type="#_x0000_t75" style="width:20.1pt;height:17.3pt" o:ole="">
            <v:imagedata r:id="rId7" o:title=""/>
          </v:shape>
          <w:control r:id="rId15" w:name="DefaultOcxName8" w:shapeid="_x0000_i118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Πάνω κάτω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85" type="#_x0000_t75" style="width:20.1pt;height:17.3pt" o:ole="">
            <v:imagedata r:id="rId7" o:title=""/>
          </v:shape>
          <w:control r:id="rId16" w:name="DefaultOcxName9" w:shapeid="_x0000_i118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Βόρειο Νότιο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δύο όμοια φορτισμένα σώματα αυτά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88" type="#_x0000_t75" style="width:20.1pt;height:17.3pt" o:ole="">
            <v:imagedata r:id="rId7" o:title=""/>
          </v:shape>
          <w:control r:id="rId17" w:name="DefaultOcxName10" w:shapeid="_x0000_i118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έλκονται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4" type="#_x0000_t75" style="width:20.1pt;height:17.3pt" o:ole="">
            <v:imagedata r:id="rId5" o:title=""/>
          </v:shape>
          <w:control r:id="rId18" w:name="DefaultOcxName11" w:shapeid="_x0000_i143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απωθούνται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194" type="#_x0000_t75" style="width:20.1pt;height:17.3pt" o:ole="">
            <v:imagedata r:id="rId7" o:title=""/>
          </v:shape>
          <w:control r:id="rId19" w:name="DefaultOcxName12" w:shapeid="_x0000_i119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δεν επηρεάζει το ένα το άλλο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Εάν πλησιάσω στο ηλεκτρικό εκκρεμές μία φορτισμένη ράβδο αυτό θα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5" type="#_x0000_t75" style="width:20.1pt;height:17.3pt" o:ole="">
            <v:imagedata r:id="rId5" o:title=""/>
          </v:shape>
          <w:control r:id="rId20" w:name="DefaultOcxName13" w:shapeid="_x0000_i143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έλκεται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00" type="#_x0000_t75" style="width:20.1pt;height:17.3pt" o:ole="">
            <v:imagedata r:id="rId7" o:title=""/>
          </v:shape>
          <w:control r:id="rId21" w:name="DefaultOcxName14" w:shapeid="_x0000_i120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απωθείται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03" type="#_x0000_t75" style="width:20.1pt;height:17.3pt" o:ole="">
            <v:imagedata r:id="rId7" o:title=""/>
          </v:shape>
          <w:control r:id="rId22" w:name="DefaultOcxName15" w:shapeid="_x0000_i120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μένει ακίνητο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06" type="#_x0000_t75" style="width:20.1pt;height:17.3pt" o:ole="">
            <v:imagedata r:id="rId7" o:title=""/>
          </v:shape>
          <w:control r:id="rId23" w:name="DefaultOcxName16" w:shapeid="_x0000_i120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ανάλογα με το φορτίο της έλκεται ή απωθείται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el-GR"/>
        </w:rPr>
        <w:t xml:space="preserve"> </w:t>
      </w:r>
      <w:r w:rsidR="002937C0">
        <w:rPr>
          <w:rFonts w:ascii="inherit" w:eastAsia="Times New Roman" w:hAnsi="inherit" w:cs="Arial"/>
          <w:color w:val="2B2B2B"/>
          <w:lang w:eastAsia="el-GR"/>
        </w:rPr>
        <w:t>Ποιά από τις παρακάτω μον</w:t>
      </w:r>
      <w:r w:rsidRPr="00D70B70">
        <w:rPr>
          <w:rFonts w:ascii="inherit" w:eastAsia="Times New Roman" w:hAnsi="inherit" w:cs="Arial"/>
          <w:color w:val="2B2B2B"/>
          <w:lang w:eastAsia="el-GR"/>
        </w:rPr>
        <w:t>άδες μέτρησης μετράει φορτίο;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6" type="#_x0000_t75" style="width:20.1pt;height:17.3pt" o:ole="">
            <v:imagedata r:id="rId5" o:title=""/>
          </v:shape>
          <w:control r:id="rId24" w:name="DefaultOcxName17" w:shapeid="_x0000_i143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1μC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12" type="#_x0000_t75" style="width:20.1pt;height:17.3pt" o:ole="">
            <v:imagedata r:id="rId7" o:title=""/>
          </v:shape>
          <w:control r:id="rId25" w:name="DefaultOcxName18" w:shapeid="_x0000_i121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1mA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15" type="#_x0000_t75" style="width:20.1pt;height:17.3pt" o:ole="">
            <v:imagedata r:id="rId7" o:title=""/>
          </v:shape>
          <w:control r:id="rId26" w:name="DefaultOcxName19" w:shapeid="_x0000_i121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1V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Το ηλεκτρικό φορτίο συμβολίζεται με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18" type="#_x0000_t75" style="width:20.1pt;height:17.3pt" o:ole="">
            <v:imagedata r:id="rId7" o:title=""/>
          </v:shape>
          <w:control r:id="rId27" w:name="DefaultOcxName20" w:shapeid="_x0000_i121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C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21" type="#_x0000_t75" style="width:20.1pt;height:17.3pt" o:ole="">
            <v:imagedata r:id="rId7" o:title=""/>
          </v:shape>
          <w:control r:id="rId28" w:name="DefaultOcxName21" w:shapeid="_x0000_i122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φ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7" type="#_x0000_t75" style="width:20.1pt;height:17.3pt" o:ole="">
            <v:imagedata r:id="rId5" o:title=""/>
          </v:shape>
          <w:control r:id="rId29" w:name="DefaultOcxName22" w:shapeid="_x0000_i143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q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1μC=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8" type="#_x0000_t75" style="width:20.1pt;height:17.3pt" o:ole="">
            <v:imagedata r:id="rId5" o:title=""/>
          </v:shape>
          <w:control r:id="rId30" w:name="DefaultOcxName23" w:shapeid="_x0000_i143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-6</w: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C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30" type="#_x0000_t75" style="width:20.1pt;height:17.3pt" o:ole="">
            <v:imagedata r:id="rId7" o:title=""/>
          </v:shape>
          <w:control r:id="rId31" w:name="DefaultOcxName24" w:shapeid="_x0000_i123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6</w: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C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33" type="#_x0000_t75" style="width:20.1pt;height:17.3pt" o:ole="">
            <v:imagedata r:id="rId7" o:title=""/>
          </v:shape>
          <w:control r:id="rId32" w:name="DefaultOcxName25" w:shapeid="_x0000_i123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-9</w: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C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b/>
          <w:bCs/>
          <w:color w:val="2B2B2B"/>
          <w:bdr w:val="none" w:sz="0" w:space="0" w:color="auto" w:frame="1"/>
          <w:lang w:eastAsia="el-GR"/>
        </w:rPr>
        <w:t xml:space="preserve"> </w:t>
      </w:r>
      <w:r w:rsidRPr="00D70B70">
        <w:rPr>
          <w:rFonts w:ascii="inherit" w:eastAsia="Times New Roman" w:hAnsi="inherit" w:cs="Arial"/>
          <w:color w:val="2B2B2B"/>
          <w:lang w:eastAsia="el-GR"/>
        </w:rPr>
        <w:t>Ένα φορτίο +5μC και ένα φορτίο -8μC έχουν συνολικό φορτίο: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36" type="#_x0000_t75" style="width:20.1pt;height:17.3pt" o:ole="">
            <v:imagedata r:id="rId7" o:title=""/>
          </v:shape>
          <w:control r:id="rId33" w:name="DefaultOcxName26" w:shapeid="_x0000_i123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13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lastRenderedPageBreak/>
        <w:object w:dxaOrig="225" w:dyaOrig="225">
          <v:shape id="_x0000_i1239" type="#_x0000_t75" style="width:20.1pt;height:17.3pt" o:ole="">
            <v:imagedata r:id="rId7" o:title=""/>
          </v:shape>
          <w:control r:id="rId34" w:name="DefaultOcxName27" w:shapeid="_x0000_i123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3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42" type="#_x0000_t75" style="width:20.1pt;height:17.3pt" o:ole="">
            <v:imagedata r:id="rId7" o:title=""/>
          </v:shape>
          <w:control r:id="rId35" w:name="DefaultOcxName28" w:shapeid="_x0000_i124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-13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39" type="#_x0000_t75" style="width:20.1pt;height:17.3pt" o:ole="">
            <v:imagedata r:id="rId5" o:title=""/>
          </v:shape>
          <w:control r:id="rId36" w:name="DefaultOcxName29" w:shapeid="_x0000_i143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-3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μC</w:t>
      </w:r>
      <w:proofErr w:type="spellEnd"/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Το άτομο είναι το μικρότερο σωματίδιο στη φύση.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0" type="#_x0000_t75" style="width:20.1pt;height:17.3pt" o:ole="">
            <v:imagedata r:id="rId5" o:title=""/>
          </v:shape>
          <w:control r:id="rId37" w:name="DefaultOcxName30" w:shapeid="_x0000_i144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51" type="#_x0000_t75" style="width:20.1pt;height:17.3pt" o:ole="">
            <v:imagedata r:id="rId7" o:title=""/>
          </v:shape>
          <w:control r:id="rId38" w:name="DefaultOcxName31" w:shapeid="_x0000_i125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Η μάζα των πρωτονίων είναι περίπου όση η μάζα των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54" type="#_x0000_t75" style="width:20.1pt;height:17.3pt" o:ole="">
            <v:imagedata r:id="rId7" o:title=""/>
          </v:shape>
          <w:control r:id="rId39" w:name="DefaultOcxName32" w:shapeid="_x0000_i125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κανενός από τα άλλα σωματίδια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57" type="#_x0000_t75" style="width:20.1pt;height:17.3pt" o:ole="">
            <v:imagedata r:id="rId7" o:title=""/>
          </v:shape>
          <w:control r:id="rId40" w:name="DefaultOcxName33" w:shapeid="_x0000_i125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ηλεκτρονίων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1" type="#_x0000_t75" style="width:20.1pt;height:17.3pt" o:ole="">
            <v:imagedata r:id="rId5" o:title=""/>
          </v:shape>
          <w:control r:id="rId41" w:name="DefaultOcxName34" w:shapeid="_x0000_i144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νετρονίων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Στον πυρήνα βρίσκονται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63" type="#_x0000_t75" style="width:20.1pt;height:17.3pt" o:ole="">
            <v:imagedata r:id="rId7" o:title=""/>
          </v:shape>
          <w:control r:id="rId42" w:name="DefaultOcxName35" w:shapeid="_x0000_i126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νετρόνια και ηλεκτρόνια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66" type="#_x0000_t75" style="width:20.1pt;height:17.3pt" o:ole="">
            <v:imagedata r:id="rId7" o:title=""/>
          </v:shape>
          <w:control r:id="rId43" w:name="DefaultOcxName36" w:shapeid="_x0000_i126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πρωτόνια και ηλεκτρόνια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2" type="#_x0000_t75" style="width:20.1pt;height:17.3pt" o:ole="">
            <v:imagedata r:id="rId5" o:title=""/>
          </v:shape>
          <w:control r:id="rId44" w:name="DefaultOcxName37" w:shapeid="_x0000_i144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πρωτόνια και νετρόνια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Θετικό φορτίο έχουν τα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72" type="#_x0000_t75" style="width:20.1pt;height:17.3pt" o:ole="">
            <v:imagedata r:id="rId7" o:title=""/>
          </v:shape>
          <w:control r:id="rId45" w:name="DefaultOcxName38" w:shapeid="_x0000_i127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νετρόνια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75" type="#_x0000_t75" style="width:20.1pt;height:17.3pt" o:ole="">
            <v:imagedata r:id="rId7" o:title=""/>
          </v:shape>
          <w:control r:id="rId46" w:name="DefaultOcxName39" w:shapeid="_x0000_i127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ηλεκτρόνια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3" type="#_x0000_t75" style="width:20.1pt;height:17.3pt" o:ole="">
            <v:imagedata r:id="rId5" o:title=""/>
          </v:shape>
          <w:control r:id="rId47" w:name="DefaultOcxName40" w:shapeid="_x0000_i144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πρωτόνια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Σε ένα ηλεκτρικά ουδέτερο άτομο, τα πρωτόνια είναι όσα τα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4" type="#_x0000_t75" style="width:20.1pt;height:17.3pt" o:ole="">
            <v:imagedata r:id="rId5" o:title=""/>
          </v:shape>
          <w:control r:id="rId48" w:name="DefaultOcxName41" w:shapeid="_x0000_i144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ηλεκτρόνια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84" type="#_x0000_t75" style="width:20.1pt;height:17.3pt" o:ole="">
            <v:imagedata r:id="rId7" o:title=""/>
          </v:shape>
          <w:control r:id="rId49" w:name="DefaultOcxName42" w:shapeid="_x0000_i128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κανένα από τα παραπάνω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87" type="#_x0000_t75" style="width:20.1pt;height:17.3pt" o:ole="">
            <v:imagedata r:id="rId7" o:title=""/>
          </v:shape>
          <w:control r:id="rId50" w:name="DefaultOcxName43" w:shapeid="_x0000_i128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νετρόνια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Τα ιόντα είναι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5" type="#_x0000_t75" style="width:20.1pt;height:17.3pt" o:ole="">
            <v:imagedata r:id="rId5" o:title=""/>
          </v:shape>
          <w:control r:id="rId51" w:name="DefaultOcxName44" w:shapeid="_x0000_i144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άτομα που έχουν αποβάλει ή προσλάβει ηλεκτρόνια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93" type="#_x0000_t75" style="width:20.1pt;height:17.3pt" o:ole="">
            <v:imagedata r:id="rId7" o:title=""/>
          </v:shape>
          <w:control r:id="rId52" w:name="DefaultOcxName45" w:shapeid="_x0000_i129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υποατομικά σωματίδια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296" type="#_x0000_t75" style="width:20.1pt;height:17.3pt" o:ole="">
            <v:imagedata r:id="rId7" o:title=""/>
          </v:shape>
          <w:control r:id="rId53" w:name="DefaultOcxName46" w:shapeid="_x0000_i129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ηλεκτρικά ουδέτερα άτομα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Η φόρτιση επιτυγχάνεται άλλοτε με μεταφορά πρωτονίων και άλλοτε με μεταφορά ηλεκτρονίων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6" type="#_x0000_t75" style="width:20.1pt;height:17.3pt" o:ole="">
            <v:imagedata r:id="rId5" o:title=""/>
          </v:shape>
          <w:control r:id="rId54" w:name="DefaultOcxName47" w:shapeid="_x0000_i144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02" type="#_x0000_t75" style="width:20.1pt;height:17.3pt" o:ole="">
            <v:imagedata r:id="rId7" o:title=""/>
          </v:shape>
          <w:control r:id="rId55" w:name="DefaultOcxName48" w:shapeid="_x0000_i130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Μπορεί στη φύση να υπάρχει το φορτίο 3,2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-19</w:t>
      </w:r>
      <w:r w:rsidRPr="00D70B70">
        <w:rPr>
          <w:rFonts w:ascii="inherit" w:eastAsia="Times New Roman" w:hAnsi="inherit" w:cs="Arial"/>
          <w:color w:val="2B2B2B"/>
          <w:lang w:eastAsia="el-GR"/>
        </w:rPr>
        <w:t> C 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05" type="#_x0000_t75" style="width:20.1pt;height:17.3pt" o:ole="">
            <v:imagedata r:id="rId7" o:title=""/>
          </v:shape>
          <w:control r:id="rId56" w:name="DefaultOcxName49" w:shapeid="_x0000_i130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Δε μπορεί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7" type="#_x0000_t75" style="width:20.1pt;height:17.3pt" o:ole="">
            <v:imagedata r:id="rId5" o:title=""/>
          </v:shape>
          <w:control r:id="rId57" w:name="DefaultOcxName50" w:shapeid="_x0000_i144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Μπορεί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Λόγω ποιάς ιδιότητας του φορτίου δε μπορεί να υπάρξει στη φύση το φορτίο 4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-19</w:t>
      </w:r>
      <w:r w:rsidRPr="00D70B70">
        <w:rPr>
          <w:rFonts w:ascii="inherit" w:eastAsia="Times New Roman" w:hAnsi="inherit" w:cs="Arial"/>
          <w:color w:val="2B2B2B"/>
          <w:lang w:eastAsia="el-GR"/>
        </w:rPr>
        <w:t> C 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8" type="#_x0000_t75" style="width:20.1pt;height:17.3pt" o:ole="">
            <v:imagedata r:id="rId5" o:title=""/>
          </v:shape>
          <w:control r:id="rId58" w:name="DefaultOcxName51" w:shapeid="_x0000_i144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Της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κβάντωσης</w:t>
      </w:r>
      <w:proofErr w:type="spellEnd"/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 του φορτίου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14" type="#_x0000_t75" style="width:20.1pt;height:17.3pt" o:ole="">
            <v:imagedata r:id="rId7" o:title=""/>
          </v:shape>
          <w:control r:id="rId59" w:name="DefaultOcxName52" w:shapeid="_x0000_i131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Της αρχής διατήρησης του φορτίου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17" type="#_x0000_t75" style="width:20.1pt;height:17.3pt" o:ole="">
            <v:imagedata r:id="rId7" o:title=""/>
          </v:shape>
          <w:control r:id="rId60" w:name="DefaultOcxName53" w:shapeid="_x0000_i131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Της φόρτισης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Με την τριβή δύο αρχικά αφόρτιστα σώματα αποκτούν ίσο και αντίθετο φορτίο λόγω της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lastRenderedPageBreak/>
        <w:object w:dxaOrig="225" w:dyaOrig="225">
          <v:shape id="_x0000_i1320" type="#_x0000_t75" style="width:20.1pt;height:17.3pt" o:ole="">
            <v:imagedata r:id="rId7" o:title=""/>
          </v:shape>
          <w:control r:id="rId61" w:name="DefaultOcxName54" w:shapeid="_x0000_i132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Της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κβάντωσης</w:t>
      </w:r>
      <w:proofErr w:type="spellEnd"/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 του φορτίου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49" type="#_x0000_t75" style="width:20.1pt;height:17.3pt" o:ole="">
            <v:imagedata r:id="rId5" o:title=""/>
          </v:shape>
          <w:control r:id="rId62" w:name="DefaultOcxName55" w:shapeid="_x0000_i144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Της αρχής διατήρησης του φορτίου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26" type="#_x0000_t75" style="width:20.1pt;height:17.3pt" o:ole="">
            <v:imagedata r:id="rId7" o:title=""/>
          </v:shape>
          <w:control r:id="rId63" w:name="DefaultOcxName56" w:shapeid="_x0000_i132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Της επαγωγής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Ποιά σώματα επιτρέπουν το διασκορπισμό του φορτίου σε όλη τους την έκταση;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29" type="#_x0000_t75" style="width:20.1pt;height:17.3pt" o:ole="">
            <v:imagedata r:id="rId7" o:title=""/>
          </v:shape>
          <w:control r:id="rId64" w:name="DefaultOcxName57" w:shapeid="_x0000_i132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Κανένα από τα παραπάνω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0" type="#_x0000_t75" style="width:20.1pt;height:17.3pt" o:ole="">
            <v:imagedata r:id="rId5" o:title=""/>
          </v:shape>
          <w:control r:id="rId65" w:name="DefaultOcxName58" w:shapeid="_x0000_i145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Οι αγωγοί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35" type="#_x0000_t75" style="width:20.1pt;height:17.3pt" o:ole="">
            <v:imagedata r:id="rId7" o:title=""/>
          </v:shape>
          <w:control r:id="rId66" w:name="DefaultOcxName59" w:shapeid="_x0000_i133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Οι μονωτές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Πλησιάζω το δάκτυλό μου σε ένα φορτισμένο καλαμάκι και αυτό πλησιάζει. Αυτός ο τρόπος ηλέκτρισης ονομάζεται ηλέκτριση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38" type="#_x0000_t75" style="width:20.1pt;height:17.3pt" o:ole="">
            <v:imagedata r:id="rId7" o:title=""/>
          </v:shape>
          <w:control r:id="rId67" w:name="DefaultOcxName60" w:shapeid="_x0000_i133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με επαφή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1" type="#_x0000_t75" style="width:20.1pt;height:17.3pt" o:ole="">
            <v:imagedata r:id="rId5" o:title=""/>
          </v:shape>
          <w:control r:id="rId68" w:name="DefaultOcxName61" w:shapeid="_x0000_i145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με επαγωγή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44" type="#_x0000_t75" style="width:20.1pt;height:17.3pt" o:ole="">
            <v:imagedata r:id="rId7" o:title=""/>
          </v:shape>
          <w:control r:id="rId69" w:name="DefaultOcxName62" w:shapeid="_x0000_i134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με τριβή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διπλασιάσω το φορτίο της μίας;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47" type="#_x0000_t75" style="width:20.1pt;height:17.3pt" o:ole="">
            <v:imagedata r:id="rId7" o:title=""/>
          </v:shape>
          <w:control r:id="rId70" w:name="DefaultOcxName63" w:shapeid="_x0000_i134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2" type="#_x0000_t75" style="width:20.1pt;height:17.3pt" o:ole="">
            <v:imagedata r:id="rId5" o:title=""/>
          </v:shape>
          <w:control r:id="rId71" w:name="DefaultOcxName64" w:shapeid="_x0000_i145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53" type="#_x0000_t75" style="width:20.1pt;height:17.3pt" o:ole="">
            <v:imagedata r:id="rId7" o:title=""/>
          </v:shape>
          <w:control r:id="rId72" w:name="DefaultOcxName65" w:shapeid="_x0000_i135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56" type="#_x0000_t75" style="width:20.1pt;height:17.3pt" o:ole="">
            <v:imagedata r:id="rId7" o:title=""/>
          </v:shape>
          <w:control r:id="rId73" w:name="DefaultOcxName66" w:shapeid="_x0000_i135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59" type="#_x0000_t75" style="width:20.1pt;height:17.3pt" o:ole="">
            <v:imagedata r:id="rId7" o:title=""/>
          </v:shape>
          <w:control r:id="rId74" w:name="DefaultOcxName67" w:shapeid="_x0000_i135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διπλασιάσω την απόστασή τους;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62" type="#_x0000_t75" style="width:20.1pt;height:17.3pt" o:ole="">
            <v:imagedata r:id="rId7" o:title=""/>
          </v:shape>
          <w:control r:id="rId75" w:name="DefaultOcxName68" w:shapeid="_x0000_i136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65" type="#_x0000_t75" style="width:20.1pt;height:17.3pt" o:ole="">
            <v:imagedata r:id="rId7" o:title=""/>
          </v:shape>
          <w:control r:id="rId76" w:name="DefaultOcxName69" w:shapeid="_x0000_i136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68" type="#_x0000_t75" style="width:20.1pt;height:17.3pt" o:ole="">
            <v:imagedata r:id="rId7" o:title=""/>
          </v:shape>
          <w:control r:id="rId77" w:name="DefaultOcxName70" w:shapeid="_x0000_i136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71" type="#_x0000_t75" style="width:20.1pt;height:17.3pt" o:ole="">
            <v:imagedata r:id="rId7" o:title=""/>
          </v:shape>
          <w:control r:id="rId78" w:name="DefaultOcxName71" w:shapeid="_x0000_i137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3" type="#_x0000_t75" style="width:20.1pt;height:17.3pt" o:ole="">
            <v:imagedata r:id="rId5" o:title=""/>
          </v:shape>
          <w:control r:id="rId79" w:name="DefaultOcxName72" w:shapeid="_x0000_i145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διπλασιάσω το φορτίο και των δύο σφαιρών;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77" type="#_x0000_t75" style="width:20.1pt;height:17.3pt" o:ole="">
            <v:imagedata r:id="rId7" o:title=""/>
          </v:shape>
          <w:control r:id="rId80" w:name="DefaultOcxName73" w:shapeid="_x0000_i137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4" type="#_x0000_t75" style="width:20.1pt;height:17.3pt" o:ole="">
            <v:imagedata r:id="rId5" o:title=""/>
          </v:shape>
          <w:control r:id="rId81" w:name="DefaultOcxName74" w:shapeid="_x0000_i145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83" type="#_x0000_t75" style="width:20.1pt;height:17.3pt" o:ole="">
            <v:imagedata r:id="rId7" o:title=""/>
          </v:shape>
          <w:control r:id="rId82" w:name="DefaultOcxName75" w:shapeid="_x0000_i1383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86" type="#_x0000_t75" style="width:20.1pt;height:17.3pt" o:ole="">
            <v:imagedata r:id="rId7" o:title=""/>
          </v:shape>
          <w:control r:id="rId83" w:name="DefaultOcxName76" w:shapeid="_x0000_i138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89" type="#_x0000_t75" style="width:20.1pt;height:17.3pt" o:ole="">
            <v:imagedata r:id="rId7" o:title=""/>
          </v:shape>
          <w:control r:id="rId84" w:name="DefaultOcxName77" w:shapeid="_x0000_i138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μικρές σφαίρες έλκονται με δύναμη F. Τι θα συμβεί στη δύναμη όταν τετραπλασιάσω το φορτίο της μίας σφαίρας και διπλασιάσω την απόστασή τους;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92" type="#_x0000_t75" style="width:20.1pt;height:17.3pt" o:ole="">
            <v:imagedata r:id="rId7" o:title=""/>
          </v:shape>
          <w:control r:id="rId85" w:name="DefaultOcxName78" w:shapeid="_x0000_i1392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τετραπλασιαστεί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395" type="#_x0000_t75" style="width:20.1pt;height:17.3pt" o:ole="">
            <v:imagedata r:id="rId7" o:title=""/>
          </v:shape>
          <w:control r:id="rId86" w:name="DefaultOcxName79" w:shapeid="_x0000_i139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διπλασιαστεί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5" type="#_x0000_t75" style="width:20.1pt;height:17.3pt" o:ole="">
            <v:imagedata r:id="rId5" o:title=""/>
          </v:shape>
          <w:control r:id="rId87" w:name="DefaultOcxName80" w:shapeid="_x0000_i145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μείνει σταθερή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01" type="#_x0000_t75" style="width:20.1pt;height:17.3pt" o:ole="">
            <v:imagedata r:id="rId7" o:title=""/>
          </v:shape>
          <w:control r:id="rId88" w:name="DefaultOcxName81" w:shapeid="_x0000_i1401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 xml:space="preserve"> θα </w:t>
      </w:r>
      <w:proofErr w:type="spellStart"/>
      <w:r w:rsidR="00D70B70" w:rsidRPr="00D70B70">
        <w:rPr>
          <w:rFonts w:ascii="inherit" w:eastAsia="Times New Roman" w:hAnsi="inherit" w:cs="Arial"/>
          <w:color w:val="2B2B2B"/>
          <w:lang w:eastAsia="el-GR"/>
        </w:rPr>
        <w:t>υποτετραπλασιαστεί</w:t>
      </w:r>
      <w:proofErr w:type="spellEnd"/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lastRenderedPageBreak/>
        <w:object w:dxaOrig="225" w:dyaOrig="225">
          <v:shape id="_x0000_i1404" type="#_x0000_t75" style="width:20.1pt;height:17.3pt" o:ole="">
            <v:imagedata r:id="rId7" o:title=""/>
          </v:shape>
          <w:control r:id="rId89" w:name="DefaultOcxName82" w:shapeid="_x0000_i1404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θα υποδιπλασιαστεί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 xml:space="preserve">Η τιμή της σταθεράς αναλογίας Κ στο νόμο </w:t>
      </w:r>
      <w:proofErr w:type="spellStart"/>
      <w:r w:rsidRPr="00D70B70">
        <w:rPr>
          <w:rFonts w:ascii="inherit" w:eastAsia="Times New Roman" w:hAnsi="inherit" w:cs="Arial"/>
          <w:color w:val="2B2B2B"/>
          <w:lang w:eastAsia="el-GR"/>
        </w:rPr>
        <w:t>Coulomb</w:t>
      </w:r>
      <w:proofErr w:type="spellEnd"/>
      <w:r w:rsidRPr="00D70B70">
        <w:rPr>
          <w:rFonts w:ascii="inherit" w:eastAsia="Times New Roman" w:hAnsi="inherit" w:cs="Arial"/>
          <w:color w:val="2B2B2B"/>
          <w:lang w:eastAsia="el-GR"/>
        </w:rPr>
        <w:t xml:space="preserve"> είναι K=9 10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9</w:t>
      </w:r>
      <w:r w:rsidRPr="00D70B70">
        <w:rPr>
          <w:rFonts w:ascii="inherit" w:eastAsia="Times New Roman" w:hAnsi="inherit" w:cs="Arial"/>
          <w:color w:val="2B2B2B"/>
          <w:lang w:eastAsia="el-GR"/>
        </w:rPr>
        <w:t> N m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2</w:t>
      </w:r>
      <w:r w:rsidRPr="00D70B70">
        <w:rPr>
          <w:rFonts w:ascii="inherit" w:eastAsia="Times New Roman" w:hAnsi="inherit" w:cs="Arial"/>
          <w:color w:val="2B2B2B"/>
          <w:lang w:eastAsia="el-GR"/>
        </w:rPr>
        <w:t>/C</w:t>
      </w:r>
      <w:r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2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6" type="#_x0000_t75" style="width:20.1pt;height:17.3pt" o:ole="">
            <v:imagedata r:id="rId5" o:title=""/>
          </v:shape>
          <w:control r:id="rId90" w:name="DefaultOcxName83" w:shapeid="_x0000_i145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Σωστό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10" type="#_x0000_t75" style="width:20.1pt;height:17.3pt" o:ole="">
            <v:imagedata r:id="rId7" o:title=""/>
          </v:shape>
          <w:control r:id="rId91" w:name="DefaultOcxName84" w:shapeid="_x0000_i1410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Λάθος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Δύο μεταλλικές σφαίρες Α και Β είναι φορτισμένες με φορτία -1μC και +4μC αντίστοιχα. Τα κέντρα τους βρίσκονται σε απόσταση 2m. Πόση δύναμη ασκεί η μία στην άλλη;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10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7" type="#_x0000_t75" style="width:20.1pt;height:17.3pt" o:ole="">
            <v:imagedata r:id="rId5" o:title=""/>
          </v:shape>
          <w:control r:id="rId92" w:name="DefaultOcxName85" w:shapeid="_x0000_i1457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0,009Ν</w:t>
      </w:r>
      <w:r w:rsidR="002937C0">
        <w:rPr>
          <w:rFonts w:ascii="inherit" w:eastAsia="Times New Roman" w:hAnsi="inherit" w:cs="Arial"/>
          <w:color w:val="2B2B2B"/>
          <w:lang w:eastAsia="el-GR"/>
        </w:rPr>
        <w:t xml:space="preserve">               </w:t>
      </w:r>
      <w:r w:rsidR="002937C0">
        <w:rPr>
          <w:rFonts w:ascii="inherit" w:eastAsia="Times New Roman" w:hAnsi="inherit" w:cs="Arial"/>
          <w:color w:val="2B2B2B"/>
          <w:lang w:val="en-US" w:eastAsia="el-GR"/>
        </w:rPr>
        <w:t>F = Kq1q2/r^2 = 9x10^9 x10^-6 x10^-6/2^2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16" type="#_x0000_t75" style="width:20.1pt;height:17.3pt" o:ole="">
            <v:imagedata r:id="rId7" o:title=""/>
          </v:shape>
          <w:control r:id="rId93" w:name="DefaultOcxName86" w:shapeid="_x0000_i1416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9 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9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19" type="#_x0000_t75" style="width:20.1pt;height:17.3pt" o:ole="">
            <v:imagedata r:id="rId7" o:title=""/>
          </v:shape>
          <w:control r:id="rId94" w:name="DefaultOcxName87" w:shapeid="_x0000_i1419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4 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-3</w:t>
      </w:r>
    </w:p>
    <w:p w:rsidR="00D70B70" w:rsidRPr="00D70B70" w:rsidRDefault="00D70B70" w:rsidP="00D70B70">
      <w:pPr>
        <w:numPr>
          <w:ilvl w:val="0"/>
          <w:numId w:val="1"/>
        </w:numPr>
        <w:shd w:val="clear" w:color="auto" w:fill="EDFAFF"/>
        <w:spacing w:beforeAutospacing="1" w:after="332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  <w:lang w:eastAsia="el-GR"/>
        </w:rPr>
        <w:t>Μικρή χάλκινη σφαίρα έχει φορτίο -1,6μC. Πόσα ηλεκτρόνια μεταφέρθηκαν στην αρχικά αφόρτιστη σφαίρα για να αποκτήσει αυτό το φορτίο;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58" type="#_x0000_t75" style="width:20.1pt;height:17.3pt" o:ole="">
            <v:imagedata r:id="rId5" o:title=""/>
          </v:shape>
          <w:control r:id="rId95" w:name="DefaultOcxName88" w:shapeid="_x0000_i145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13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25" type="#_x0000_t75" style="width:20.1pt;height:17.3pt" o:ole="">
            <v:imagedata r:id="rId7" o:title=""/>
          </v:shape>
          <w:control r:id="rId96" w:name="DefaultOcxName89" w:shapeid="_x0000_i1425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6</w:t>
      </w:r>
      <w:r w:rsidR="002937C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 xml:space="preserve">                                                  </w:t>
      </w:r>
    </w:p>
    <w:p w:rsidR="00D70B70" w:rsidRPr="00D70B70" w:rsidRDefault="00B540D2" w:rsidP="00D70B70">
      <w:pPr>
        <w:numPr>
          <w:ilvl w:val="1"/>
          <w:numId w:val="1"/>
        </w:numPr>
        <w:shd w:val="clear" w:color="auto" w:fill="EDFAFF"/>
        <w:spacing w:after="0" w:afterAutospacing="1" w:line="240" w:lineRule="auto"/>
        <w:textAlignment w:val="baseline"/>
        <w:rPr>
          <w:rFonts w:ascii="inherit" w:eastAsia="Times New Roman" w:hAnsi="inherit" w:cs="Arial"/>
          <w:color w:val="2B2B2B"/>
          <w:lang w:eastAsia="el-GR"/>
        </w:rPr>
      </w:pPr>
      <w:r w:rsidRPr="00D70B70">
        <w:rPr>
          <w:rFonts w:ascii="inherit" w:eastAsia="Times New Roman" w:hAnsi="inherit" w:cs="Arial"/>
          <w:color w:val="2B2B2B"/>
        </w:rPr>
        <w:object w:dxaOrig="225" w:dyaOrig="225">
          <v:shape id="_x0000_i1428" type="#_x0000_t75" style="width:20.1pt;height:17.3pt" o:ole="">
            <v:imagedata r:id="rId7" o:title=""/>
          </v:shape>
          <w:control r:id="rId97" w:name="DefaultOcxName90" w:shapeid="_x0000_i1428"/>
        </w:object>
      </w:r>
      <w:r w:rsidR="00D70B70" w:rsidRPr="00D70B70">
        <w:rPr>
          <w:rFonts w:ascii="inherit" w:eastAsia="Times New Roman" w:hAnsi="inherit" w:cs="Arial"/>
          <w:color w:val="2B2B2B"/>
          <w:lang w:eastAsia="el-GR"/>
        </w:rPr>
        <w:t> 10</w:t>
      </w:r>
      <w:r w:rsidR="00D70B70" w:rsidRPr="00D70B70">
        <w:rPr>
          <w:rFonts w:ascii="inherit" w:eastAsia="Times New Roman" w:hAnsi="inherit" w:cs="Arial"/>
          <w:color w:val="2B2B2B"/>
          <w:sz w:val="17"/>
          <w:szCs w:val="17"/>
          <w:bdr w:val="none" w:sz="0" w:space="0" w:color="auto" w:frame="1"/>
          <w:vertAlign w:val="superscript"/>
          <w:lang w:eastAsia="el-GR"/>
        </w:rPr>
        <w:t>19</w:t>
      </w:r>
    </w:p>
    <w:p w:rsidR="00BD05D3" w:rsidRDefault="00BD05D3"/>
    <w:sectPr w:rsidR="00BD05D3" w:rsidSect="00BD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13A"/>
    <w:multiLevelType w:val="multilevel"/>
    <w:tmpl w:val="FA98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70B70"/>
    <w:rsid w:val="002937C0"/>
    <w:rsid w:val="00B540D2"/>
    <w:rsid w:val="00BD05D3"/>
    <w:rsid w:val="00D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928">
          <w:marLeft w:val="0"/>
          <w:marRight w:val="277"/>
          <w:marTop w:val="0"/>
          <w:marBottom w:val="0"/>
          <w:divBdr>
            <w:top w:val="single" w:sz="6" w:space="14" w:color="C3D1A3"/>
            <w:left w:val="single" w:sz="6" w:space="14" w:color="C3D1A3"/>
            <w:bottom w:val="single" w:sz="6" w:space="14" w:color="C3D1A3"/>
            <w:right w:val="single" w:sz="6" w:space="14" w:color="C3D1A3"/>
          </w:divBdr>
          <w:divsChild>
            <w:div w:id="2094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3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051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2612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78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758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4763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2308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9389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774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0757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8345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921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723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3008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129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47036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6749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4691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066633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06158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0215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15941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0542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58665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0725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4543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64084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5162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5059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97" Type="http://schemas.openxmlformats.org/officeDocument/2006/relationships/control" Target="activeX/activeX91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2020-04-21T10:45:00Z</dcterms:created>
  <dcterms:modified xsi:type="dcterms:W3CDTF">2020-04-21T10:45:00Z</dcterms:modified>
</cp:coreProperties>
</file>